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2C6626">
        <w:rPr>
          <w:sz w:val="28"/>
          <w:szCs w:val="28"/>
        </w:rPr>
        <w:t>60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10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0A651E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 xml:space="preserve">о </w:t>
      </w:r>
      <w:r w:rsidR="002C6626" w:rsidRPr="002C6626">
        <w:rPr>
          <w:sz w:val="28"/>
          <w:szCs w:val="28"/>
        </w:rPr>
        <w:t xml:space="preserve">размещении проездов, в том числе </w:t>
      </w:r>
      <w:proofErr w:type="spellStart"/>
      <w:r w:rsidR="002C6626" w:rsidRPr="002C6626">
        <w:rPr>
          <w:sz w:val="28"/>
          <w:szCs w:val="28"/>
        </w:rPr>
        <w:t>вдольтрассовых</w:t>
      </w:r>
      <w:proofErr w:type="spellEnd"/>
      <w:r w:rsidR="002C6626" w:rsidRPr="002C6626">
        <w:rPr>
          <w:sz w:val="28"/>
          <w:szCs w:val="28"/>
        </w:rPr>
        <w:t>, и подъездных дорог в границах кадастрового квартала 47:07:1002007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346EC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2C6626" w:rsidRPr="002C6626">
              <w:rPr>
                <w:sz w:val="28"/>
                <w:szCs w:val="28"/>
              </w:rPr>
              <w:t>с п.3 ст.39.36 Земельного кодекса Российской Федерации,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постановлением Правительства Ленинградской области от 03.08.2015 № 301 «Об утверждении Порядка и условий размещения отдельных видов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Ленинградской области»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61D05" w:rsidRDefault="00461D05" w:rsidP="003E7623">
      <w:r>
        <w:separator/>
      </w:r>
    </w:p>
  </w:endnote>
  <w:endnote w:type="continuationSeparator" w:id="0">
    <w:p w:rsidR="00461D05" w:rsidRDefault="00461D0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61D05" w:rsidRDefault="00461D05" w:rsidP="003E7623">
      <w:r>
        <w:separator/>
      </w:r>
    </w:p>
  </w:footnote>
  <w:footnote w:type="continuationSeparator" w:id="0">
    <w:p w:rsidR="00461D05" w:rsidRDefault="00461D0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1D05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3D45F-7B20-4489-9AB8-41D2A116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2026-04-29T09:13:00Z</dcterms:created>
  <dcterms:modified xsi:type="dcterms:W3CDTF">2026-04-29T09:13:00Z</dcterms:modified>
</cp:coreProperties>
</file>